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shd w:val="clear" w:color="FFFFFF" w:fill="D9D9D9"/>
        </w:rPr>
        <w:t>附件1：重庆师范大学初等教育学院2024年研究生入学考试复试指南流程图</w:t>
      </w:r>
    </w:p>
    <w:p>
      <w:pPr>
        <w:rPr>
          <w:rFonts w:ascii="方正仿宋_GBK" w:hAnsi="方正仿宋_GBK" w:eastAsia="方正仿宋_GBK" w:cs="方正仿宋_GBK"/>
          <w:szCs w:val="32"/>
        </w:rPr>
      </w:pPr>
      <w:r>
        <w:pict>
          <v:rect id="_x0000_s1027" o:spid="_x0000_s1027" o:spt="1" style="position:absolute;left:0pt;margin-left:19.6pt;margin-top:4.3pt;height:90pt;width:427.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考生报到：时间：4月10日上午9:00-11:00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地点：</w:t>
                  </w:r>
                  <w:r>
                    <w:rPr>
                      <w:rFonts w:hint="eastAsia"/>
                    </w:rPr>
                    <w:t>大学城虎溪校区图书馆1005会议室</w:t>
                  </w:r>
                </w:p>
                <w:p>
                  <w:r>
                    <w:rPr>
                      <w:rFonts w:hint="eastAsia"/>
                    </w:rPr>
                    <w:t>内容：报到及资格审查（准考证、有效身份证、学籍学历证明材料），熟悉场所，领取复试指南流程图，了解相关流程。</w:t>
                  </w:r>
                </w:p>
                <w:p/>
              </w:txbxContent>
            </v:textbox>
          </v:rect>
        </w:pict>
      </w:r>
    </w:p>
    <w:p/>
    <w:p/>
    <w:p/>
    <w:p/>
    <w:p/>
    <w:p>
      <w:pPr>
        <w:rPr>
          <w:rFonts w:hint="eastAsia" w:eastAsia="宋体"/>
          <w:lang w:eastAsia="zh-CN"/>
        </w:rPr>
      </w:pPr>
    </w:p>
    <w:p>
      <w:r>
        <w:pict>
          <v:shape id="_x0000_s1028" o:spid="_x0000_s1028" o:spt="67" type="#_x0000_t67" style="position:absolute;left:0pt;margin-left:165.85pt;margin-top:10.45pt;height:43.5pt;width:112.5pt;z-index:251660288;mso-width-relative:page;mso-height-relative:page;" fillcolor="#8FAADC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rPr>
          <w:rFonts w:hint="eastAsia"/>
        </w:rPr>
        <w:t xml:space="preserve">          </w:t>
      </w:r>
    </w:p>
    <w:p>
      <w:pPr>
        <w:rPr>
          <w:rFonts w:ascii="方正仿宋_GBK" w:hAnsi="方正仿宋_GBK" w:eastAsia="方正仿宋_GBK" w:cs="方正仿宋_GBK"/>
          <w:szCs w:val="32"/>
        </w:rPr>
      </w:pPr>
    </w:p>
    <w:p>
      <w:pPr>
        <w:rPr>
          <w:rFonts w:ascii="方正仿宋_GBK" w:hAnsi="方正仿宋_GBK" w:eastAsia="方正仿宋_GBK" w:cs="方正仿宋_GBK"/>
          <w:szCs w:val="32"/>
        </w:rPr>
      </w:pPr>
    </w:p>
    <w:p>
      <w:pPr>
        <w:rPr>
          <w:rFonts w:ascii="方正仿宋_GBK" w:hAnsi="方正仿宋_GBK" w:eastAsia="方正仿宋_GBK" w:cs="方正仿宋_GBK"/>
          <w:szCs w:val="32"/>
        </w:rPr>
      </w:pPr>
      <w:r>
        <w:pict>
          <v:rect id="_x0000_s1029" o:spid="_x0000_s1029" o:spt="1" style="position:absolute;left:0pt;margin-left:24.1pt;margin-top:28.75pt;height:116.25pt;width:423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专业笔试：</w:t>
                  </w:r>
                </w:p>
                <w:p>
                  <w:r>
                    <w:rPr>
                      <w:rFonts w:hint="eastAsia"/>
                    </w:rPr>
                    <w:t>时间：2024年4月10日下午14:30-16:30</w:t>
                  </w:r>
                </w:p>
                <w:p>
                  <w:r>
                    <w:rPr>
                      <w:rFonts w:hint="eastAsia"/>
                    </w:rPr>
                    <w:t>地点：弘德楼15202</w:t>
                  </w:r>
                </w:p>
                <w:p>
                  <w:r>
                    <w:rPr>
                      <w:rFonts w:hint="eastAsia"/>
                    </w:rPr>
                    <w:t>专业：初等教育学、小学教育（非全）、学前教育（非全）、 科学与技术教育（非全）</w:t>
                  </w:r>
                </w:p>
                <w:p/>
              </w:txbxContent>
            </v:textbox>
          </v:rect>
        </w:pict>
      </w:r>
    </w:p>
    <w:p/>
    <w:p/>
    <w:p/>
    <w:p/>
    <w:p/>
    <w:p/>
    <w:p/>
    <w:p/>
    <w:p>
      <w:pPr>
        <w:rPr>
          <w:rFonts w:ascii="方正仿宋_GBK" w:hAnsi="方正仿宋_GBK" w:eastAsia="方正仿宋_GBK" w:cs="方正仿宋_GBK"/>
          <w:szCs w:val="32"/>
        </w:rPr>
      </w:pPr>
      <w:r>
        <w:pict>
          <v:shape id="_x0000_s1030" o:spid="_x0000_s1030" o:spt="67" type="#_x0000_t67" style="position:absolute;left:0pt;margin-left:157.6pt;margin-top:28.9pt;height:49.5pt;width:135pt;z-index:251662336;mso-width-relative:page;mso-height-relative:page;" fillcolor="#8FAADC" filled="t" coordsize="21600,21600">
            <v:path/>
            <v:fill on="t" focussize="0,0"/>
            <v:stroke joinstyle="miter"/>
            <v:imagedata o:title=""/>
            <o:lock v:ext="edit"/>
          </v:shape>
        </w:pict>
      </w:r>
    </w:p>
    <w:p/>
    <w:p>
      <w:pPr>
        <w:rPr>
          <w:rFonts w:ascii="方正仿宋_GBK" w:hAnsi="方正仿宋_GBK" w:eastAsia="方正仿宋_GBK" w:cs="方正仿宋_GBK"/>
          <w:szCs w:val="32"/>
        </w:rPr>
      </w:pPr>
    </w:p>
    <w:p>
      <w:pPr>
        <w:rPr>
          <w:rFonts w:ascii="方正仿宋_GBK" w:hAnsi="方正仿宋_GBK" w:eastAsia="方正仿宋_GBK" w:cs="方正仿宋_GBK"/>
          <w:szCs w:val="32"/>
        </w:rPr>
      </w:pPr>
    </w:p>
    <w:p>
      <w:pPr>
        <w:rPr>
          <w:rFonts w:ascii="方正仿宋_GBK" w:hAnsi="方正仿宋_GBK" w:eastAsia="方正仿宋_GBK" w:cs="方正仿宋_GBK"/>
          <w:szCs w:val="32"/>
        </w:rPr>
      </w:pPr>
      <w:r>
        <w:pict>
          <v:rect id="_x0000_s1031" o:spid="_x0000_s1031" o:spt="1" style="position:absolute;left:0pt;margin-left:30.85pt;margin-top:25.75pt;height:181.45pt;width:418.5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英语水平测试及综合能力测试：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>（复试前30分钟在面试场外候场，</w:t>
                  </w:r>
                  <w:r>
                    <w:rPr>
                      <w:rFonts w:hint="eastAsia"/>
                      <w:u w:val="single"/>
                    </w:rPr>
                    <w:t>请携带身份证方便核实信息</w:t>
                  </w:r>
                  <w:r>
                    <w:rPr>
                      <w:rFonts w:hint="eastAsia"/>
                    </w:rPr>
                    <w:t>）</w:t>
                  </w:r>
                </w:p>
                <w:p>
                  <w:r>
                    <w:rPr>
                      <w:rFonts w:hint="eastAsia"/>
                    </w:rPr>
                    <w:t>1、科学与技术教育（非全）</w:t>
                  </w:r>
                </w:p>
                <w:p>
                  <w:pPr>
                    <w:rPr>
                      <w:rFonts w:ascii="黑体" w:eastAsia="黑体"/>
                      <w:color w:val="000000"/>
                    </w:rPr>
                  </w:pPr>
                  <w:r>
                    <w:rPr>
                      <w:rFonts w:hint="eastAsia" w:ascii="黑体" w:eastAsia="黑体"/>
                      <w:color w:val="000000"/>
                    </w:rPr>
                    <w:t>时间：</w:t>
                  </w:r>
                  <w:r>
                    <w:rPr>
                      <w:rFonts w:hint="eastAsia"/>
                    </w:rPr>
                    <w:t>4月10日下午18:00开始</w:t>
                  </w:r>
                </w:p>
                <w:p>
                  <w:r>
                    <w:rPr>
                      <w:rFonts w:hint="eastAsia"/>
                    </w:rPr>
                    <w:t>地点：大学城虎溪校区图书馆1005会议室</w:t>
                  </w:r>
                </w:p>
                <w:p/>
                <w:p>
                  <w:pPr>
                    <w:pStyle w:val="18"/>
                    <w:numPr>
                      <w:ilvl w:val="0"/>
                      <w:numId w:val="1"/>
                    </w:numPr>
                    <w:ind w:firstLineChars="0"/>
                  </w:pPr>
                  <w:r>
                    <w:rPr>
                      <w:rFonts w:hint="eastAsia"/>
                    </w:rPr>
                    <w:t>初等教育学、小学教育（非全）、学前教育（非全）</w:t>
                  </w:r>
                </w:p>
                <w:p>
                  <w:pPr>
                    <w:rPr>
                      <w:rFonts w:ascii="黑体" w:eastAsia="黑体"/>
                      <w:color w:val="000000"/>
                    </w:rPr>
                  </w:pPr>
                  <w:r>
                    <w:rPr>
                      <w:rFonts w:hint="eastAsia" w:ascii="黑体" w:eastAsia="黑体"/>
                      <w:color w:val="000000"/>
                    </w:rPr>
                    <w:t>时间：</w:t>
                  </w:r>
                  <w:r>
                    <w:rPr>
                      <w:rFonts w:hint="eastAsia"/>
                    </w:rPr>
                    <w:t>4月11日上午9：:00开始</w:t>
                  </w:r>
                </w:p>
                <w:p>
                  <w:r>
                    <w:rPr>
                      <w:rFonts w:hint="eastAsia"/>
                    </w:rPr>
                    <w:t>地点：大学城虎溪校区图书馆1005会议室</w:t>
                  </w:r>
                </w:p>
                <w:p/>
                <w:p/>
              </w:txbxContent>
            </v:textbox>
          </v:rect>
        </w:pict>
      </w:r>
    </w:p>
    <w:p/>
    <w:p/>
    <w:p/>
    <w:p/>
    <w:p/>
    <w:p/>
    <w:p/>
    <w:p/>
    <w:p/>
    <w:p/>
    <w:p/>
    <w:p/>
    <w:p/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</w:rPr>
        <w:t>请结束复试的同学即刻离校，后续可通过</w:t>
      </w:r>
      <w:r>
        <w:rPr>
          <w:rFonts w:hint="eastAsia"/>
          <w:sz w:val="24"/>
        </w:rPr>
        <w:t>官网查询复试成绩和拟录取名单。</w:t>
      </w:r>
    </w:p>
    <w:p>
      <w:pPr>
        <w:rPr>
          <w:highlight w:val="yellow"/>
        </w:rPr>
      </w:pPr>
      <w:r>
        <w:rPr>
          <w:rFonts w:hint="eastAsia"/>
          <w:highlight w:val="yellow"/>
        </w:rPr>
        <w:t>同等学历加试：时间：2024年4月11日14:30-18:30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highlight w:val="yellow"/>
        </w:rPr>
        <w:t>地点：大学城校区图书馆1006室。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p>
      <w:pPr>
        <w:snapToGrid w:val="0"/>
        <w:jc w:val="center"/>
        <w:rPr>
          <w:rFonts w:ascii="黑体" w:hAnsi="黑体" w:eastAsia="黑体" w:cs="黑体"/>
          <w:b/>
          <w:bCs/>
          <w:sz w:val="48"/>
          <w:szCs w:val="48"/>
          <w:highlight w:val="none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highlight w:val="none"/>
        </w:rPr>
        <w:t>202</w:t>
      </w:r>
      <w:r>
        <w:rPr>
          <w:rFonts w:hint="eastAsia" w:ascii="黑体" w:hAnsi="黑体" w:eastAsia="黑体" w:cs="黑体"/>
          <w:b/>
          <w:bCs/>
          <w:sz w:val="48"/>
          <w:szCs w:val="48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48"/>
          <w:szCs w:val="48"/>
          <w:highlight w:val="none"/>
        </w:rPr>
        <w:t>年研究生面试议程</w:t>
      </w:r>
    </w:p>
    <w:p>
      <w:pPr>
        <w:snapToGrid w:val="0"/>
        <w:jc w:val="center"/>
        <w:rPr>
          <w:rFonts w:ascii="黑体" w:hAnsi="黑体" w:eastAsia="黑体" w:cs="黑体"/>
          <w:b/>
          <w:bCs/>
          <w:sz w:val="48"/>
          <w:szCs w:val="48"/>
          <w:highlight w:val="none"/>
        </w:rPr>
      </w:pPr>
    </w:p>
    <w:p>
      <w:pPr>
        <w:snapToGrid w:val="0"/>
        <w:spacing w:line="360" w:lineRule="auto"/>
        <w:ind w:firstLine="658" w:firstLineChars="183"/>
        <w:rPr>
          <w:rFonts w:ascii="仿宋" w:hAnsi="仿宋" w:eastAsia="仿宋" w:cs="仿宋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sz w:val="36"/>
          <w:szCs w:val="36"/>
          <w:highlight w:val="none"/>
        </w:rPr>
        <w:t>一、纪检监察组现场拆封专家组分组名单、试题；</w:t>
      </w:r>
    </w:p>
    <w:p>
      <w:pPr>
        <w:snapToGrid w:val="0"/>
        <w:spacing w:line="360" w:lineRule="auto"/>
        <w:ind w:firstLine="658" w:firstLineChars="183"/>
        <w:rPr>
          <w:rFonts w:ascii="仿宋" w:hAnsi="仿宋" w:eastAsia="仿宋" w:cs="仿宋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sz w:val="36"/>
          <w:szCs w:val="36"/>
          <w:highlight w:val="none"/>
        </w:rPr>
        <w:t>二、学生</w:t>
      </w: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核验人证一致后，</w:t>
      </w:r>
      <w:r>
        <w:rPr>
          <w:rFonts w:hint="eastAsia" w:ascii="仿宋" w:hAnsi="仿宋" w:eastAsia="仿宋" w:cs="仿宋"/>
          <w:sz w:val="36"/>
          <w:szCs w:val="36"/>
          <w:highlight w:val="none"/>
        </w:rPr>
        <w:t>按照抽签</w:t>
      </w: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既定</w:t>
      </w:r>
      <w:r>
        <w:rPr>
          <w:rFonts w:hint="eastAsia" w:ascii="仿宋" w:hAnsi="仿宋" w:eastAsia="仿宋" w:cs="仿宋"/>
          <w:sz w:val="36"/>
          <w:szCs w:val="36"/>
          <w:highlight w:val="none"/>
        </w:rPr>
        <w:t>顺序依次入场；</w:t>
      </w:r>
    </w:p>
    <w:p>
      <w:pPr>
        <w:snapToGrid w:val="0"/>
        <w:spacing w:line="360" w:lineRule="auto"/>
        <w:ind w:firstLine="658" w:firstLineChars="183"/>
        <w:rPr>
          <w:rFonts w:ascii="仿宋" w:hAnsi="仿宋" w:eastAsia="仿宋" w:cs="仿宋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sz w:val="36"/>
          <w:szCs w:val="36"/>
          <w:highlight w:val="none"/>
        </w:rPr>
        <w:t>三、按照主考官要求，回答以下问题：</w:t>
      </w:r>
    </w:p>
    <w:p>
      <w:pPr>
        <w:snapToGrid w:val="0"/>
        <w:spacing w:line="360" w:lineRule="auto"/>
        <w:ind w:firstLine="658" w:firstLineChars="183"/>
        <w:rPr>
          <w:rFonts w:ascii="仿宋" w:hAnsi="仿宋" w:eastAsia="仿宋" w:cs="仿宋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sz w:val="36"/>
          <w:szCs w:val="36"/>
          <w:highlight w:val="none"/>
        </w:rPr>
        <w:t>（1）考生进行自我介绍（2分钟中文介绍）；</w:t>
      </w:r>
    </w:p>
    <w:p>
      <w:pPr>
        <w:snapToGrid w:val="0"/>
        <w:spacing w:line="360" w:lineRule="auto"/>
        <w:ind w:firstLine="658" w:firstLineChars="183"/>
        <w:rPr>
          <w:rFonts w:ascii="仿宋" w:hAnsi="仿宋" w:eastAsia="仿宋" w:cs="仿宋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sz w:val="36"/>
          <w:szCs w:val="36"/>
          <w:highlight w:val="none"/>
        </w:rPr>
        <w:t>（2）英语测试员和学生进行英文对话（2-3分钟）；</w:t>
      </w:r>
    </w:p>
    <w:p>
      <w:pPr>
        <w:snapToGrid w:val="0"/>
        <w:spacing w:line="360" w:lineRule="auto"/>
        <w:ind w:firstLine="658" w:firstLineChars="183"/>
        <w:rPr>
          <w:rFonts w:ascii="仿宋" w:hAnsi="仿宋" w:eastAsia="仿宋" w:cs="仿宋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sz w:val="36"/>
          <w:szCs w:val="36"/>
          <w:highlight w:val="none"/>
        </w:rPr>
        <w:t>（3）学生抽取三道题，选取其中两道作答：</w:t>
      </w: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报题号，</w:t>
      </w:r>
      <w:r>
        <w:rPr>
          <w:rFonts w:hint="eastAsia" w:ascii="仿宋" w:hAnsi="仿宋" w:eastAsia="仿宋" w:cs="仿宋"/>
          <w:sz w:val="36"/>
          <w:szCs w:val="36"/>
          <w:highlight w:val="none"/>
        </w:rPr>
        <w:t>然后进行作答；</w:t>
      </w:r>
    </w:p>
    <w:p>
      <w:pPr>
        <w:spacing w:line="360" w:lineRule="auto"/>
        <w:ind w:firstLine="658" w:firstLineChars="183"/>
        <w:rPr>
          <w:rFonts w:ascii="仿宋" w:hAnsi="仿宋" w:eastAsia="仿宋" w:cs="仿宋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sz w:val="36"/>
          <w:szCs w:val="36"/>
          <w:highlight w:val="none"/>
        </w:rPr>
        <w:t>四、面试结束后，</w:t>
      </w: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考</w:t>
      </w:r>
      <w:r>
        <w:rPr>
          <w:rFonts w:hint="eastAsia" w:ascii="仿宋" w:hAnsi="仿宋" w:eastAsia="仿宋" w:cs="仿宋"/>
          <w:sz w:val="36"/>
          <w:szCs w:val="36"/>
          <w:highlight w:val="none"/>
        </w:rPr>
        <w:t>生交回试题单立场。</w:t>
      </w:r>
    </w:p>
    <w:p>
      <w:pPr>
        <w:snapToGrid w:val="0"/>
        <w:spacing w:line="360" w:lineRule="auto"/>
        <w:ind w:firstLine="562" w:firstLineChars="200"/>
        <w:rPr>
          <w:rFonts w:ascii="黑体" w:hAnsi="黑体" w:eastAsia="黑体" w:cs="黑体"/>
          <w:b/>
          <w:bCs/>
          <w:sz w:val="28"/>
          <w:szCs w:val="28"/>
          <w:highlight w:val="none"/>
        </w:rPr>
      </w:pPr>
    </w:p>
    <w:p>
      <w:pPr>
        <w:snapToGrid w:val="0"/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</w:p>
    <w:p>
      <w:pPr>
        <w:snapToGrid w:val="0"/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</w:p>
    <w:p>
      <w:pPr>
        <w:snapToGrid w:val="0"/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</w:p>
    <w:p>
      <w:pPr>
        <w:snapToGrid w:val="0"/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</w:p>
    <w:p>
      <w:pPr>
        <w:snapToGrid w:val="0"/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</w:p>
    <w:p>
      <w:pPr>
        <w:snapToGrid w:val="0"/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</w:p>
    <w:p>
      <w:pPr>
        <w:snapToGrid w:val="0"/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C00000"/>
          <w:sz w:val="28"/>
          <w:szCs w:val="28"/>
          <w:highlight w:val="none"/>
          <w:lang w:val="en-US" w:eastAsia="zh-CN"/>
        </w:rPr>
        <w:t>温馨提示：</w:t>
      </w:r>
    </w:p>
    <w:p>
      <w:pPr>
        <w:snapToGrid w:val="0"/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C00000"/>
          <w:sz w:val="28"/>
          <w:szCs w:val="28"/>
          <w:highlight w:val="none"/>
          <w:lang w:val="en-US" w:eastAsia="zh-CN"/>
        </w:rPr>
        <w:t>面试全程录像，禁考生投递简历或在面试过程的环节中透露自己所在学校，以及谈论与本场面试无关的内容，否则将作违规处理。</w:t>
      </w:r>
    </w:p>
    <w:p>
      <w:pPr>
        <w:rPr>
          <w:rFonts w:hint="default"/>
          <w:lang w:val="en-US" w:eastAsia="zh-CN"/>
        </w:rPr>
      </w:pPr>
    </w:p>
    <w:p>
      <w:pPr>
        <w:spacing w:line="360" w:lineRule="auto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重庆师范大学</w:t>
      </w:r>
    </w:p>
    <w:p>
      <w:pPr>
        <w:spacing w:line="360" w:lineRule="auto"/>
        <w:jc w:val="center"/>
        <w:rPr>
          <w:rFonts w:eastAsia="黑体"/>
        </w:rPr>
      </w:pPr>
      <w:r>
        <w:rPr>
          <w:rFonts w:hint="eastAsia" w:eastAsia="黑体"/>
          <w:sz w:val="32"/>
        </w:rPr>
        <w:t>202</w:t>
      </w:r>
      <w:r>
        <w:rPr>
          <w:rFonts w:hint="eastAsia" w:eastAsia="黑体"/>
          <w:sz w:val="32"/>
          <w:lang w:val="en-US" w:eastAsia="zh-CN"/>
        </w:rPr>
        <w:t>4</w:t>
      </w:r>
      <w:r>
        <w:rPr>
          <w:rFonts w:hint="eastAsia" w:eastAsia="黑体"/>
          <w:sz w:val="32"/>
        </w:rPr>
        <w:t>年招收定向就业硕士研究生合同</w:t>
      </w:r>
    </w:p>
    <w:p>
      <w:pPr>
        <w:spacing w:line="400" w:lineRule="exact"/>
        <w:rPr>
          <w:rFonts w:eastAsia="黑体"/>
          <w:u w:val="single"/>
        </w:rPr>
      </w:pPr>
      <w:r>
        <w:rPr>
          <w:rFonts w:hint="eastAsia" w:eastAsia="黑体"/>
        </w:rPr>
        <w:t>委托单位（以下简称甲方）名称：</w:t>
      </w:r>
      <w:r>
        <w:rPr>
          <w:rFonts w:hint="eastAsia" w:eastAsia="黑体"/>
          <w:u w:val="single"/>
        </w:rPr>
        <w:t xml:space="preserve">                                                            </w:t>
      </w:r>
    </w:p>
    <w:p>
      <w:pPr>
        <w:spacing w:line="400" w:lineRule="exact"/>
        <w:rPr>
          <w:rFonts w:eastAsia="黑体"/>
          <w:u w:val="single"/>
        </w:rPr>
      </w:pPr>
      <w:r>
        <w:rPr>
          <w:rFonts w:hint="eastAsia" w:eastAsia="黑体"/>
        </w:rPr>
        <w:t>委托单位所在省（区、市）/地市区/县市旗：</w:t>
      </w:r>
      <w:r>
        <w:rPr>
          <w:rFonts w:hint="eastAsia" w:eastAsia="黑体"/>
          <w:u w:val="single"/>
        </w:rPr>
        <w:t xml:space="preserve">                                                   </w:t>
      </w:r>
      <w:r>
        <w:rPr>
          <w:rFonts w:hint="eastAsia" w:eastAsia="黑体"/>
        </w:rPr>
        <w:t xml:space="preserve">   </w:t>
      </w:r>
    </w:p>
    <w:p>
      <w:pPr>
        <w:spacing w:line="400" w:lineRule="exact"/>
        <w:rPr>
          <w:u w:val="single"/>
        </w:rPr>
      </w:pPr>
      <w:r>
        <w:rPr>
          <w:rFonts w:hint="eastAsia" w:eastAsia="黑体"/>
        </w:rPr>
        <w:t>培养单位（以下简称乙方）名称：</w:t>
      </w:r>
      <w:r>
        <w:rPr>
          <w:rFonts w:hint="eastAsia" w:eastAsia="黑体"/>
          <w:u w:val="single"/>
        </w:rPr>
        <w:t xml:space="preserve">                    重庆师范大学                                                 </w:t>
      </w:r>
    </w:p>
    <w:p>
      <w:pPr>
        <w:spacing w:line="400" w:lineRule="exact"/>
        <w:rPr>
          <w:rFonts w:eastAsia="黑体"/>
          <w:u w:val="single"/>
        </w:rPr>
      </w:pPr>
      <w:r>
        <w:rPr>
          <w:rFonts w:hint="eastAsia" w:eastAsia="黑体"/>
        </w:rPr>
        <w:t>委培生（以下简称丙方）姓名：</w:t>
      </w:r>
      <w:r>
        <w:rPr>
          <w:rFonts w:hint="eastAsia" w:eastAsia="黑体"/>
          <w:u w:val="single"/>
        </w:rPr>
        <w:t xml:space="preserve">                                                                </w:t>
      </w:r>
    </w:p>
    <w:p>
      <w:pPr>
        <w:spacing w:line="400" w:lineRule="exact"/>
        <w:rPr>
          <w:rFonts w:hint="eastAsia" w:ascii="黑体" w:hAnsi="黑体" w:eastAsia="黑体"/>
        </w:rPr>
      </w:pPr>
      <w:r>
        <w:rPr>
          <w:rFonts w:hint="eastAsia" w:eastAsia="黑体"/>
        </w:rPr>
        <w:t>委托培养方式：</w:t>
      </w:r>
      <w:r>
        <w:rPr>
          <w:rFonts w:hint="eastAsia" w:eastAsia="黑体"/>
          <w:u w:val="single"/>
        </w:rPr>
        <w:t xml:space="preserve">                              定向就业                                              </w:t>
      </w:r>
    </w:p>
    <w:p>
      <w:pPr>
        <w:spacing w:line="400" w:lineRule="exact"/>
      </w:pPr>
      <w:r>
        <w:rPr>
          <w:rFonts w:hint="eastAsia" w:eastAsia="黑体"/>
        </w:rPr>
        <w:t>委托事项：</w:t>
      </w:r>
      <w:r>
        <w:rPr>
          <w:rFonts w:hint="eastAsia"/>
        </w:rPr>
        <w:t>甲方委托乙方培养丙方攻读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专业（全日制</w:t>
      </w:r>
      <w:r>
        <w:rPr>
          <w:rFonts w:hint="eastAsia" w:ascii="宋体" w:hAnsi="宋体"/>
        </w:rPr>
        <w:t>□非全日制□）</w:t>
      </w:r>
      <w:r>
        <w:rPr>
          <w:rFonts w:hint="eastAsia"/>
        </w:rPr>
        <w:t>硕士学位。培养年限以乙方当年公布的招生简章为准。</w:t>
      </w:r>
    </w:p>
    <w:p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一、甲乙双方应承担的义务</w:t>
      </w:r>
    </w:p>
    <w:p>
      <w:pPr>
        <w:spacing w:line="360" w:lineRule="exact"/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1</w:t>
      </w:r>
      <w:r>
        <w:rPr>
          <w:rFonts w:hint="eastAsia" w:hAnsi="宋体"/>
          <w:color w:val="000000" w:themeColor="text1"/>
          <w:szCs w:val="21"/>
        </w:rPr>
        <w:t>．</w:t>
      </w:r>
      <w:r>
        <w:rPr>
          <w:rFonts w:hint="eastAsia"/>
          <w:color w:val="000000" w:themeColor="text1"/>
        </w:rPr>
        <w:t>甲方承担的义务：</w:t>
      </w:r>
    </w:p>
    <w:p>
      <w:pPr>
        <w:spacing w:line="360" w:lineRule="exact"/>
        <w:ind w:firstLine="420" w:firstLineChars="200"/>
        <w:rPr>
          <w:b/>
          <w:color w:val="000000" w:themeColor="text1"/>
        </w:rPr>
      </w:pPr>
      <w:r>
        <w:rPr>
          <w:rFonts w:hint="eastAsia"/>
          <w:color w:val="000000" w:themeColor="text1"/>
        </w:rPr>
        <w:t>丙方入学时，不转人事档案、工资关系，毕业后回甲方工作；</w:t>
      </w:r>
      <w:r>
        <w:rPr>
          <w:rFonts w:hint="eastAsia"/>
          <w:b/>
          <w:color w:val="000000" w:themeColor="text1"/>
        </w:rPr>
        <w:t>丙方规定学制期间的相关费用，如培养费、住宿费、生活费、医疗费等，由甲方与丙方共同协商支付。</w:t>
      </w:r>
    </w:p>
    <w:p>
      <w:pPr>
        <w:spacing w:line="360" w:lineRule="exact"/>
        <w:ind w:firstLine="420" w:firstLineChars="200"/>
      </w:pPr>
      <w:r>
        <w:rPr>
          <w:rFonts w:hint="eastAsia"/>
        </w:rPr>
        <w:t>2</w:t>
      </w:r>
      <w:r>
        <w:rPr>
          <w:rFonts w:hint="eastAsia" w:hAnsi="宋体"/>
          <w:szCs w:val="21"/>
        </w:rPr>
        <w:t>．</w:t>
      </w:r>
      <w:r>
        <w:rPr>
          <w:rFonts w:hint="eastAsia"/>
        </w:rPr>
        <w:t>乙方承担的义务：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丙方在学习期间，乙方按重庆师范大学相关规定进行培养和管理，向丙方提供图书资料、教学设备等学习条件和生活设施。学习期满，考试合格并按规定通过论文答辩者，颁发毕业证书和学位证书。</w:t>
      </w:r>
    </w:p>
    <w:p>
      <w:pPr>
        <w:spacing w:line="360" w:lineRule="exact"/>
        <w:ind w:firstLine="420" w:firstLineChars="200"/>
      </w:pPr>
      <w:r>
        <w:rPr>
          <w:rFonts w:hint="eastAsia"/>
        </w:rPr>
        <w:t>二、丙方若因成绩不合格等原因不能毕业或不能获得硕士学位，仍由甲方接收安排工作，甲方不得以此为由，收取丙方任何费用。</w:t>
      </w:r>
    </w:p>
    <w:p>
      <w:pPr>
        <w:pStyle w:val="4"/>
      </w:pPr>
      <w:r>
        <w:rPr>
          <w:rFonts w:hint="eastAsia"/>
        </w:rPr>
        <w:t>三、甲乙双方如有一方违约，不履行合同，违约方应向另一方赔偿经济损失。若非乙方原因，丙方中断学习，乙方不退各种已收费用。</w:t>
      </w:r>
    </w:p>
    <w:p>
      <w:pPr>
        <w:spacing w:line="360" w:lineRule="exact"/>
        <w:ind w:firstLine="420"/>
      </w:pPr>
      <w:r>
        <w:rPr>
          <w:rFonts w:hint="eastAsia"/>
        </w:rPr>
        <w:t>四、如本合同与上级规定不符，以上级文件规定为准。</w:t>
      </w:r>
    </w:p>
    <w:p>
      <w:pPr>
        <w:spacing w:line="360" w:lineRule="exact"/>
        <w:ind w:firstLine="420"/>
      </w:pPr>
      <w:r>
        <w:rPr>
          <w:rFonts w:hint="eastAsia"/>
        </w:rPr>
        <w:t>五、本合同经甲乙丙三方签字盖章且丙方按规定取得学籍后生效。</w:t>
      </w:r>
    </w:p>
    <w:p>
      <w:pPr>
        <w:spacing w:line="360" w:lineRule="exact"/>
        <w:ind w:firstLine="420"/>
      </w:pPr>
      <w:r>
        <w:rPr>
          <w:rFonts w:hint="eastAsia"/>
        </w:rPr>
        <w:t>六、本合同一式三份，甲乙丙三方各保留一份。</w:t>
      </w:r>
    </w:p>
    <w:p>
      <w:pPr>
        <w:spacing w:line="360" w:lineRule="exact"/>
        <w:ind w:firstLine="420"/>
      </w:pPr>
      <w:r>
        <w:rPr>
          <w:rFonts w:hint="eastAsia"/>
        </w:rPr>
        <w:t>七、其他未尽事宜，补充如下：</w:t>
      </w:r>
    </w:p>
    <w:p>
      <w:pPr>
        <w:spacing w:line="360" w:lineRule="exact"/>
        <w:ind w:firstLine="420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        </w:t>
      </w:r>
    </w:p>
    <w:p>
      <w:pPr>
        <w:spacing w:line="360" w:lineRule="exact"/>
        <w:ind w:firstLine="420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    </w:t>
      </w:r>
    </w:p>
    <w:p>
      <w:pPr>
        <w:spacing w:line="360" w:lineRule="exact"/>
        <w:ind w:firstLine="420"/>
      </w:pPr>
      <w:r>
        <w:rPr>
          <w:rFonts w:hint="eastAsia"/>
          <w:u w:val="single"/>
        </w:rPr>
        <w:t xml:space="preserve">                                                                                      </w:t>
      </w:r>
    </w:p>
    <w:p>
      <w:pPr>
        <w:spacing w:line="360" w:lineRule="exact"/>
        <w:ind w:firstLine="420"/>
        <w:rPr>
          <w:b/>
        </w:rPr>
      </w:pPr>
      <w:r>
        <w:rPr>
          <w:rFonts w:hint="eastAsia"/>
          <w:b/>
        </w:rPr>
        <w:t>以下内容必填：</w:t>
      </w:r>
    </w:p>
    <w:p>
      <w:pPr>
        <w:spacing w:line="360" w:lineRule="exact"/>
      </w:pPr>
      <w:r>
        <w:rPr>
          <w:rFonts w:hint="eastAsia"/>
        </w:rPr>
        <w:t>甲方人事部门联系人：___________________电话________________邮箱：_________________</w:t>
      </w:r>
    </w:p>
    <w:p>
      <w:pPr>
        <w:spacing w:line="360" w:lineRule="exact"/>
      </w:pPr>
      <w:r>
        <w:rPr>
          <w:rFonts w:hint="eastAsia"/>
        </w:rPr>
        <w:t xml:space="preserve">甲方详细地址：_____________________________________________邮编：_________________ </w:t>
      </w:r>
    </w:p>
    <w:p>
      <w:pPr>
        <w:spacing w:line="360" w:lineRule="exact"/>
        <w:ind w:firstLine="735" w:firstLineChars="350"/>
      </w:pPr>
      <w:r>
        <w:rPr>
          <w:rFonts w:hint="eastAsia" w:eastAsia="黑体"/>
        </w:rPr>
        <w:t>甲方</w:t>
      </w:r>
      <w:r>
        <w:rPr>
          <w:rFonts w:hint="eastAsia"/>
        </w:rPr>
        <w:t>（盖章）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tab/>
      </w:r>
      <w:r>
        <w:rPr>
          <w:rFonts w:hint="eastAsia" w:eastAsia="黑体"/>
        </w:rPr>
        <w:t>乙方</w:t>
      </w:r>
      <w:r>
        <w:rPr>
          <w:rFonts w:hint="eastAsia"/>
        </w:rPr>
        <w:t>（盖章）</w:t>
      </w:r>
    </w:p>
    <w:p>
      <w:pPr>
        <w:spacing w:line="360" w:lineRule="exact"/>
        <w:rPr>
          <w:rFonts w:eastAsia="黑体"/>
        </w:rPr>
      </w:pPr>
    </w:p>
    <w:p>
      <w:pPr>
        <w:spacing w:line="360" w:lineRule="exact"/>
        <w:ind w:firstLine="735" w:firstLineChars="350"/>
      </w:pPr>
      <w:r>
        <w:rPr>
          <w:rFonts w:hint="eastAsia" w:eastAsia="黑体"/>
        </w:rPr>
        <w:t>甲方代表</w:t>
      </w:r>
      <w:r>
        <w:rPr>
          <w:rFonts w:hint="eastAsia"/>
        </w:rPr>
        <w:t>（签字）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 w:eastAsia="黑体"/>
        </w:rPr>
        <w:t>乙方代表</w:t>
      </w:r>
      <w:r>
        <w:rPr>
          <w:rFonts w:hint="eastAsia"/>
        </w:rPr>
        <w:t>（签字）　　　　</w:t>
      </w:r>
      <w:r>
        <w:rPr>
          <w:rFonts w:hint="eastAsia" w:ascii="黑体" w:eastAsia="黑体"/>
        </w:rPr>
        <w:t>　   丙方（签字）</w:t>
      </w:r>
    </w:p>
    <w:p>
      <w:pPr>
        <w:spacing w:line="360" w:lineRule="exact"/>
        <w:ind w:firstLine="735" w:firstLineChars="35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  月  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  月  日　　　　　   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  月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附件4;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2024年初等教育学院复试内容及参考书目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582"/>
        <w:gridCol w:w="720"/>
        <w:gridCol w:w="755"/>
        <w:gridCol w:w="775"/>
        <w:gridCol w:w="1264"/>
        <w:gridCol w:w="671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restart"/>
          </w:tcPr>
          <w:p/>
          <w:p/>
          <w:p>
            <w:pPr>
              <w:rPr>
                <w:rFonts w:eastAsia="方正仿宋_GBK" w:cs="方正仿宋_GBK" w:asciiTheme="minorHAnsi" w:hAnsiTheme="minorHAnsi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601" w:type="dxa"/>
            <w:gridSpan w:val="2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笔试</w:t>
            </w:r>
          </w:p>
        </w:tc>
        <w:tc>
          <w:tcPr>
            <w:tcW w:w="1475" w:type="dxa"/>
            <w:gridSpan w:val="2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面试</w:t>
            </w:r>
          </w:p>
        </w:tc>
        <w:tc>
          <w:tcPr>
            <w:tcW w:w="4079" w:type="dxa"/>
            <w:gridSpan w:val="4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同等学历加试科目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</w:tcPr>
          <w:p/>
        </w:tc>
        <w:tc>
          <w:tcPr>
            <w:tcW w:w="1019" w:type="dxa"/>
          </w:tcPr>
          <w:p>
            <w:r>
              <w:rPr>
                <w:rFonts w:hint="eastAsia"/>
              </w:rPr>
              <w:t>笔试名称</w:t>
            </w:r>
          </w:p>
        </w:tc>
        <w:tc>
          <w:tcPr>
            <w:tcW w:w="1582" w:type="dxa"/>
          </w:tcPr>
          <w:p>
            <w:r>
              <w:rPr>
                <w:rFonts w:hint="eastAsia"/>
              </w:rPr>
              <w:t>笔试参考书目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面试内容</w:t>
            </w:r>
          </w:p>
        </w:tc>
        <w:tc>
          <w:tcPr>
            <w:tcW w:w="755" w:type="dxa"/>
          </w:tcPr>
          <w:p>
            <w:r>
              <w:rPr>
                <w:rFonts w:hint="eastAsia"/>
              </w:rPr>
              <w:t>面试参考书目</w:t>
            </w:r>
          </w:p>
        </w:tc>
        <w:tc>
          <w:tcPr>
            <w:tcW w:w="775" w:type="dxa"/>
          </w:tcPr>
          <w:p>
            <w:r>
              <w:rPr>
                <w:rFonts w:hint="eastAsia"/>
              </w:rPr>
              <w:t>加试科目1名称</w:t>
            </w:r>
          </w:p>
        </w:tc>
        <w:tc>
          <w:tcPr>
            <w:tcW w:w="1264" w:type="dxa"/>
          </w:tcPr>
          <w:p>
            <w:r>
              <w:rPr>
                <w:rFonts w:hint="eastAsia"/>
              </w:rPr>
              <w:t>加试科目1参考书目</w:t>
            </w:r>
          </w:p>
        </w:tc>
        <w:tc>
          <w:tcPr>
            <w:tcW w:w="671" w:type="dxa"/>
          </w:tcPr>
          <w:p>
            <w:r>
              <w:rPr>
                <w:rFonts w:hint="eastAsia"/>
              </w:rPr>
              <w:t>加试科目2名称</w:t>
            </w:r>
          </w:p>
        </w:tc>
        <w:tc>
          <w:tcPr>
            <w:tcW w:w="1369" w:type="dxa"/>
          </w:tcPr>
          <w:p>
            <w:r>
              <w:rPr>
                <w:rFonts w:hint="eastAsia"/>
              </w:rPr>
              <w:t>加试科目2参考书目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r>
              <w:rPr>
                <w:rFonts w:hint="eastAsia"/>
              </w:rPr>
              <w:t>0401Z4初等教育学</w:t>
            </w:r>
          </w:p>
        </w:tc>
        <w:tc>
          <w:tcPr>
            <w:tcW w:w="1019" w:type="dxa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小学教育学</w:t>
            </w:r>
          </w:p>
        </w:tc>
        <w:tc>
          <w:tcPr>
            <w:tcW w:w="158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《小学教育学》黄济，劳凯声，檀传宝主编，人民教育出版社，2019年</w:t>
            </w:r>
          </w:p>
        </w:tc>
        <w:tc>
          <w:tcPr>
            <w:tcW w:w="720" w:type="dxa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初等教育学专业基础综合</w:t>
            </w:r>
          </w:p>
        </w:tc>
        <w:tc>
          <w:tcPr>
            <w:tcW w:w="7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75" w:type="dxa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教育科研方法论</w:t>
            </w:r>
          </w:p>
        </w:tc>
        <w:tc>
          <w:tcPr>
            <w:tcW w:w="126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《教育研究方法导论》，裴娣娜主编，安徽教育出版社，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671" w:type="dxa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教育心理学</w:t>
            </w:r>
          </w:p>
        </w:tc>
        <w:tc>
          <w:tcPr>
            <w:tcW w:w="1369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《教育心理学（第三版）》，冯忠良、伍新春、姚梅林、王健敏主编，人民教育出版社，2015年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r>
              <w:rPr>
                <w:rFonts w:hint="eastAsia"/>
              </w:rPr>
              <w:t>045117科学与技术教育</w:t>
            </w:r>
          </w:p>
        </w:tc>
        <w:tc>
          <w:tcPr>
            <w:tcW w:w="1019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中小学科学课程改革与实践</w:t>
            </w:r>
          </w:p>
        </w:tc>
        <w:tc>
          <w:tcPr>
            <w:tcW w:w="158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 xml:space="preserve">科学课程与教学论的基 本理论与课程改革的相 关情况。 </w:t>
            </w:r>
          </w:p>
        </w:tc>
        <w:tc>
          <w:tcPr>
            <w:tcW w:w="755" w:type="dxa"/>
          </w:tcPr>
          <w:p>
            <w:pPr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无</w:t>
            </w:r>
          </w:p>
        </w:tc>
        <w:tc>
          <w:tcPr>
            <w:tcW w:w="775" w:type="dxa"/>
          </w:tcPr>
          <w:p>
            <w:pPr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 xml:space="preserve">无机化学或普通物 </w:t>
            </w:r>
          </w:p>
          <w:p>
            <w:pPr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理学</w:t>
            </w:r>
          </w:p>
          <w:p>
            <w:pPr>
              <w:rPr>
                <w:sz w:val="18"/>
                <w:szCs w:val="18"/>
                <w:lang w:bidi="ar"/>
              </w:rPr>
            </w:pPr>
          </w:p>
        </w:tc>
        <w:tc>
          <w:tcPr>
            <w:tcW w:w="1264" w:type="dxa"/>
          </w:tcPr>
          <w:p>
            <w:pPr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《无机化学》北京 师范大学等编，高 等教育出版社。《 普通物理学》 程守洙主编，高等 教育出版社</w:t>
            </w:r>
          </w:p>
        </w:tc>
        <w:tc>
          <w:tcPr>
            <w:tcW w:w="671" w:type="dxa"/>
          </w:tcPr>
          <w:p>
            <w:pPr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 xml:space="preserve">分析化学或普通生 </w:t>
            </w:r>
          </w:p>
          <w:p>
            <w:pPr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 xml:space="preserve">物学 </w:t>
            </w:r>
          </w:p>
          <w:p>
            <w:pPr>
              <w:rPr>
                <w:sz w:val="18"/>
                <w:szCs w:val="18"/>
                <w:lang w:bidi="ar"/>
              </w:rPr>
            </w:pPr>
          </w:p>
        </w:tc>
        <w:tc>
          <w:tcPr>
            <w:tcW w:w="1369" w:type="dxa"/>
          </w:tcPr>
          <w:p>
            <w:pPr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r>
              <w:rPr>
                <w:rFonts w:hint="eastAsia"/>
              </w:rPr>
              <w:t>045115小学教育</w:t>
            </w:r>
          </w:p>
        </w:tc>
        <w:tc>
          <w:tcPr>
            <w:tcW w:w="1019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小学教育理论与实践</w:t>
            </w:r>
          </w:p>
        </w:tc>
        <w:tc>
          <w:tcPr>
            <w:tcW w:w="1582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《小学教育学》黄济，劳凯声，檀传宝主编，人民教育出版社，2019年</w:t>
            </w:r>
          </w:p>
        </w:tc>
        <w:tc>
          <w:tcPr>
            <w:tcW w:w="720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小学教育综合</w:t>
            </w:r>
          </w:p>
        </w:tc>
        <w:tc>
          <w:tcPr>
            <w:tcW w:w="755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无</w:t>
            </w:r>
          </w:p>
        </w:tc>
        <w:tc>
          <w:tcPr>
            <w:tcW w:w="775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教育心理学</w:t>
            </w:r>
          </w:p>
        </w:tc>
        <w:tc>
          <w:tcPr>
            <w:tcW w:w="1264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《教育心理学（第三版）》，冯忠良、伍新春、姚梅林、王健敏主编，人民教育出版社，2010</w:t>
            </w:r>
          </w:p>
        </w:tc>
        <w:tc>
          <w:tcPr>
            <w:tcW w:w="671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课程与教学论</w:t>
            </w:r>
          </w:p>
        </w:tc>
        <w:tc>
          <w:tcPr>
            <w:tcW w:w="1369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《现代课程与教学论》，黄甫全主编，人民教育出版社， 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r>
              <w:rPr>
                <w:rFonts w:hint="eastAsia"/>
              </w:rPr>
              <w:t>045118学前教育</w:t>
            </w:r>
          </w:p>
        </w:tc>
        <w:tc>
          <w:tcPr>
            <w:tcW w:w="1019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学前教育学综合</w:t>
            </w:r>
          </w:p>
        </w:tc>
        <w:tc>
          <w:tcPr>
            <w:tcW w:w="1582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1.《学前教育学》，牟映雪主编，（第二版），教育科学出版社，2017年；2.《幼儿园课程与教学》，邵小佩主编，北京师范大学出版社，2015年</w:t>
            </w:r>
          </w:p>
        </w:tc>
        <w:tc>
          <w:tcPr>
            <w:tcW w:w="720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学前教育专业基础综合</w:t>
            </w:r>
          </w:p>
        </w:tc>
        <w:tc>
          <w:tcPr>
            <w:tcW w:w="755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无</w:t>
            </w:r>
          </w:p>
        </w:tc>
        <w:tc>
          <w:tcPr>
            <w:tcW w:w="775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学前儿童心理学</w:t>
            </w:r>
          </w:p>
        </w:tc>
        <w:tc>
          <w:tcPr>
            <w:tcW w:w="1264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《学前儿童发展心理学》，魏勇刚主编，教育科学出版社，2012</w:t>
            </w:r>
          </w:p>
        </w:tc>
        <w:tc>
          <w:tcPr>
            <w:tcW w:w="671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幼儿教育思想史</w:t>
            </w:r>
          </w:p>
        </w:tc>
        <w:tc>
          <w:tcPr>
            <w:tcW w:w="1369" w:type="dxa"/>
          </w:tcPr>
          <w:p>
            <w:pPr>
              <w:rPr>
                <w:rFonts w:eastAsia="方正仿宋_GBK" w:cs="方正仿宋_GBK" w:asciiTheme="minorHAnsi" w:hAnsiTheme="minorHAns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《幼儿教育思想史》，杜成宪，单中惠主编，人民教育出版社，2010年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 PAGE </w:instrText>
    </w:r>
    <w:r>
      <w:rPr>
        <w:rFonts w:hint="eastAsia"/>
      </w:rPr>
      <w:fldChar w:fldCharType="separate"/>
    </w:r>
    <w:r>
      <w:t>6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8</w:t>
    </w:r>
    <w:r>
      <w:rPr>
        <w:rStyle w:val="12"/>
      </w:rPr>
      <w:fldChar w:fldCharType="end"/>
    </w:r>
  </w:p>
  <w:p>
    <w:pPr>
      <w:pStyle w:val="6"/>
    </w:pPr>
  </w:p>
  <w:p/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D572C"/>
    <w:multiLevelType w:val="singleLevel"/>
    <w:tmpl w:val="957D572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MwODU5MjdmNGY1MjUzODc5N2NmMTFlYWI5YzQ5MmQifQ=="/>
    <w:docVar w:name="KSO_WPS_MARK_KEY" w:val="5058e00c-1eb5-44d4-b50c-be1404615b63"/>
  </w:docVars>
  <w:rsids>
    <w:rsidRoot w:val="00CC550B"/>
    <w:rsid w:val="0000658B"/>
    <w:rsid w:val="0000749E"/>
    <w:rsid w:val="00007A7C"/>
    <w:rsid w:val="00007B6B"/>
    <w:rsid w:val="00017048"/>
    <w:rsid w:val="00024A71"/>
    <w:rsid w:val="00030423"/>
    <w:rsid w:val="000308A3"/>
    <w:rsid w:val="00031926"/>
    <w:rsid w:val="00031AC0"/>
    <w:rsid w:val="00035590"/>
    <w:rsid w:val="00036E33"/>
    <w:rsid w:val="000372C8"/>
    <w:rsid w:val="00043ADA"/>
    <w:rsid w:val="00047098"/>
    <w:rsid w:val="00050987"/>
    <w:rsid w:val="000704E0"/>
    <w:rsid w:val="00074285"/>
    <w:rsid w:val="00075740"/>
    <w:rsid w:val="00081B08"/>
    <w:rsid w:val="00090B17"/>
    <w:rsid w:val="0009477E"/>
    <w:rsid w:val="00095158"/>
    <w:rsid w:val="000A486D"/>
    <w:rsid w:val="000A5682"/>
    <w:rsid w:val="000B03C3"/>
    <w:rsid w:val="000B37AA"/>
    <w:rsid w:val="000B5320"/>
    <w:rsid w:val="000C319F"/>
    <w:rsid w:val="000D2189"/>
    <w:rsid w:val="000D2D4B"/>
    <w:rsid w:val="000D54B1"/>
    <w:rsid w:val="000E3393"/>
    <w:rsid w:val="000E62A6"/>
    <w:rsid w:val="000F0FE2"/>
    <w:rsid w:val="000F38B3"/>
    <w:rsid w:val="000F46F4"/>
    <w:rsid w:val="000F7259"/>
    <w:rsid w:val="000F7A46"/>
    <w:rsid w:val="00100BB0"/>
    <w:rsid w:val="0010604A"/>
    <w:rsid w:val="00116EA5"/>
    <w:rsid w:val="00120D06"/>
    <w:rsid w:val="00123ABE"/>
    <w:rsid w:val="00124316"/>
    <w:rsid w:val="001319F6"/>
    <w:rsid w:val="00136178"/>
    <w:rsid w:val="001361A9"/>
    <w:rsid w:val="00140207"/>
    <w:rsid w:val="001409BF"/>
    <w:rsid w:val="00140FD0"/>
    <w:rsid w:val="001422E4"/>
    <w:rsid w:val="00151829"/>
    <w:rsid w:val="0015211E"/>
    <w:rsid w:val="001543E5"/>
    <w:rsid w:val="0015780A"/>
    <w:rsid w:val="00170441"/>
    <w:rsid w:val="00175555"/>
    <w:rsid w:val="00181E30"/>
    <w:rsid w:val="0018436F"/>
    <w:rsid w:val="001844EA"/>
    <w:rsid w:val="001868B0"/>
    <w:rsid w:val="001906F3"/>
    <w:rsid w:val="00190932"/>
    <w:rsid w:val="00193E87"/>
    <w:rsid w:val="00194533"/>
    <w:rsid w:val="001952FE"/>
    <w:rsid w:val="001A155A"/>
    <w:rsid w:val="001A177E"/>
    <w:rsid w:val="001A4E5B"/>
    <w:rsid w:val="001A7924"/>
    <w:rsid w:val="001B0364"/>
    <w:rsid w:val="001B1E71"/>
    <w:rsid w:val="001B3D0B"/>
    <w:rsid w:val="001B64DA"/>
    <w:rsid w:val="001B72E9"/>
    <w:rsid w:val="001C3A7F"/>
    <w:rsid w:val="001C3DF8"/>
    <w:rsid w:val="001D6EFD"/>
    <w:rsid w:val="001D7BA5"/>
    <w:rsid w:val="001E39AD"/>
    <w:rsid w:val="001E4101"/>
    <w:rsid w:val="001E459A"/>
    <w:rsid w:val="001F205C"/>
    <w:rsid w:val="001F2581"/>
    <w:rsid w:val="001F2EF6"/>
    <w:rsid w:val="001F7B98"/>
    <w:rsid w:val="00203A37"/>
    <w:rsid w:val="00204C5B"/>
    <w:rsid w:val="00206D2E"/>
    <w:rsid w:val="002179BD"/>
    <w:rsid w:val="00217C32"/>
    <w:rsid w:val="00217D50"/>
    <w:rsid w:val="00221267"/>
    <w:rsid w:val="002218F0"/>
    <w:rsid w:val="002244AC"/>
    <w:rsid w:val="00237E5C"/>
    <w:rsid w:val="00241CBC"/>
    <w:rsid w:val="0024733B"/>
    <w:rsid w:val="0025167A"/>
    <w:rsid w:val="0025373E"/>
    <w:rsid w:val="00254551"/>
    <w:rsid w:val="00256B7D"/>
    <w:rsid w:val="002575C2"/>
    <w:rsid w:val="00262959"/>
    <w:rsid w:val="00266089"/>
    <w:rsid w:val="002670BB"/>
    <w:rsid w:val="00271A5A"/>
    <w:rsid w:val="002724C2"/>
    <w:rsid w:val="00274950"/>
    <w:rsid w:val="0028391E"/>
    <w:rsid w:val="00284436"/>
    <w:rsid w:val="002912A6"/>
    <w:rsid w:val="00295E43"/>
    <w:rsid w:val="00296484"/>
    <w:rsid w:val="00296F31"/>
    <w:rsid w:val="002A5067"/>
    <w:rsid w:val="002B1A56"/>
    <w:rsid w:val="002B646F"/>
    <w:rsid w:val="002C28E6"/>
    <w:rsid w:val="002C71CF"/>
    <w:rsid w:val="002C7EE4"/>
    <w:rsid w:val="002D483F"/>
    <w:rsid w:val="002E484C"/>
    <w:rsid w:val="002E5F6E"/>
    <w:rsid w:val="002F45B6"/>
    <w:rsid w:val="002F6FE2"/>
    <w:rsid w:val="003002C4"/>
    <w:rsid w:val="00301C32"/>
    <w:rsid w:val="003023E2"/>
    <w:rsid w:val="003051E1"/>
    <w:rsid w:val="003101D3"/>
    <w:rsid w:val="00316A32"/>
    <w:rsid w:val="0032780E"/>
    <w:rsid w:val="0033263A"/>
    <w:rsid w:val="00343D46"/>
    <w:rsid w:val="00353E38"/>
    <w:rsid w:val="00354E9A"/>
    <w:rsid w:val="003607CC"/>
    <w:rsid w:val="00371DBC"/>
    <w:rsid w:val="003739FB"/>
    <w:rsid w:val="00382E7A"/>
    <w:rsid w:val="003850DB"/>
    <w:rsid w:val="0038625A"/>
    <w:rsid w:val="003904AC"/>
    <w:rsid w:val="00391DD6"/>
    <w:rsid w:val="003A5331"/>
    <w:rsid w:val="003B265F"/>
    <w:rsid w:val="003B3862"/>
    <w:rsid w:val="003B4ED0"/>
    <w:rsid w:val="003C0C81"/>
    <w:rsid w:val="003C364E"/>
    <w:rsid w:val="003C5C5E"/>
    <w:rsid w:val="003D6D6C"/>
    <w:rsid w:val="003E2F8F"/>
    <w:rsid w:val="003E36A6"/>
    <w:rsid w:val="003E48DF"/>
    <w:rsid w:val="003E5176"/>
    <w:rsid w:val="003E7DBE"/>
    <w:rsid w:val="003F10DF"/>
    <w:rsid w:val="003F164C"/>
    <w:rsid w:val="003F2367"/>
    <w:rsid w:val="004022E4"/>
    <w:rsid w:val="00402BBE"/>
    <w:rsid w:val="00406CB8"/>
    <w:rsid w:val="00411D81"/>
    <w:rsid w:val="00422A96"/>
    <w:rsid w:val="0042578C"/>
    <w:rsid w:val="0042690A"/>
    <w:rsid w:val="004379B0"/>
    <w:rsid w:val="0044214C"/>
    <w:rsid w:val="00447F98"/>
    <w:rsid w:val="00450946"/>
    <w:rsid w:val="0045327F"/>
    <w:rsid w:val="00454AFF"/>
    <w:rsid w:val="004658C7"/>
    <w:rsid w:val="004678FF"/>
    <w:rsid w:val="004737F5"/>
    <w:rsid w:val="00477309"/>
    <w:rsid w:val="00481742"/>
    <w:rsid w:val="00482299"/>
    <w:rsid w:val="00482BF8"/>
    <w:rsid w:val="0049147F"/>
    <w:rsid w:val="00494372"/>
    <w:rsid w:val="0049560E"/>
    <w:rsid w:val="004A1212"/>
    <w:rsid w:val="004B5200"/>
    <w:rsid w:val="004C5564"/>
    <w:rsid w:val="004C6FAE"/>
    <w:rsid w:val="004D2649"/>
    <w:rsid w:val="004D552A"/>
    <w:rsid w:val="004E3882"/>
    <w:rsid w:val="004E4D38"/>
    <w:rsid w:val="004E6DFB"/>
    <w:rsid w:val="00505BBA"/>
    <w:rsid w:val="00507333"/>
    <w:rsid w:val="00515A87"/>
    <w:rsid w:val="00540474"/>
    <w:rsid w:val="005404A0"/>
    <w:rsid w:val="00541833"/>
    <w:rsid w:val="0054460C"/>
    <w:rsid w:val="005471A6"/>
    <w:rsid w:val="00547903"/>
    <w:rsid w:val="00552E48"/>
    <w:rsid w:val="005552C0"/>
    <w:rsid w:val="00557851"/>
    <w:rsid w:val="00557AB1"/>
    <w:rsid w:val="00557D69"/>
    <w:rsid w:val="00561521"/>
    <w:rsid w:val="005615D8"/>
    <w:rsid w:val="00562288"/>
    <w:rsid w:val="00565C90"/>
    <w:rsid w:val="00565F2D"/>
    <w:rsid w:val="00566E46"/>
    <w:rsid w:val="0057081A"/>
    <w:rsid w:val="0057310F"/>
    <w:rsid w:val="00575B90"/>
    <w:rsid w:val="0058070B"/>
    <w:rsid w:val="005828F3"/>
    <w:rsid w:val="00582CA0"/>
    <w:rsid w:val="005845AB"/>
    <w:rsid w:val="005851F9"/>
    <w:rsid w:val="00590D1D"/>
    <w:rsid w:val="00593AA8"/>
    <w:rsid w:val="005A2D40"/>
    <w:rsid w:val="005A5FDC"/>
    <w:rsid w:val="005A6AD4"/>
    <w:rsid w:val="005B2FC2"/>
    <w:rsid w:val="005B4B1F"/>
    <w:rsid w:val="005B60BD"/>
    <w:rsid w:val="005C1CDC"/>
    <w:rsid w:val="005C4F25"/>
    <w:rsid w:val="005C6278"/>
    <w:rsid w:val="005C7C4A"/>
    <w:rsid w:val="005C7D26"/>
    <w:rsid w:val="005C7ED1"/>
    <w:rsid w:val="005D250A"/>
    <w:rsid w:val="005D2FB6"/>
    <w:rsid w:val="005D56B6"/>
    <w:rsid w:val="005E2323"/>
    <w:rsid w:val="005E2C15"/>
    <w:rsid w:val="005E2C68"/>
    <w:rsid w:val="005F2011"/>
    <w:rsid w:val="005F68BD"/>
    <w:rsid w:val="00602523"/>
    <w:rsid w:val="00605BE1"/>
    <w:rsid w:val="00606290"/>
    <w:rsid w:val="00606F69"/>
    <w:rsid w:val="00610B4F"/>
    <w:rsid w:val="006138C5"/>
    <w:rsid w:val="00616AAF"/>
    <w:rsid w:val="00620938"/>
    <w:rsid w:val="00620E7C"/>
    <w:rsid w:val="00623F7B"/>
    <w:rsid w:val="0062585D"/>
    <w:rsid w:val="0064148D"/>
    <w:rsid w:val="00645C07"/>
    <w:rsid w:val="006475AC"/>
    <w:rsid w:val="006517F1"/>
    <w:rsid w:val="006557BE"/>
    <w:rsid w:val="006559A5"/>
    <w:rsid w:val="0065772C"/>
    <w:rsid w:val="00660B7F"/>
    <w:rsid w:val="006615A2"/>
    <w:rsid w:val="00665DB9"/>
    <w:rsid w:val="006664EA"/>
    <w:rsid w:val="00673CE8"/>
    <w:rsid w:val="00674BED"/>
    <w:rsid w:val="00685D3E"/>
    <w:rsid w:val="006944B7"/>
    <w:rsid w:val="006A11BC"/>
    <w:rsid w:val="006A7469"/>
    <w:rsid w:val="006B2C04"/>
    <w:rsid w:val="006B6AA2"/>
    <w:rsid w:val="006C76CC"/>
    <w:rsid w:val="006C7AC7"/>
    <w:rsid w:val="006D7D2E"/>
    <w:rsid w:val="006E7A23"/>
    <w:rsid w:val="006F11CE"/>
    <w:rsid w:val="006F166A"/>
    <w:rsid w:val="006F16ED"/>
    <w:rsid w:val="006F1C57"/>
    <w:rsid w:val="006F3FB8"/>
    <w:rsid w:val="00701A27"/>
    <w:rsid w:val="00701CCA"/>
    <w:rsid w:val="0070371A"/>
    <w:rsid w:val="00713B9B"/>
    <w:rsid w:val="00717C1F"/>
    <w:rsid w:val="00724D51"/>
    <w:rsid w:val="007257E0"/>
    <w:rsid w:val="0072642A"/>
    <w:rsid w:val="00726874"/>
    <w:rsid w:val="00726DD9"/>
    <w:rsid w:val="00730204"/>
    <w:rsid w:val="00732765"/>
    <w:rsid w:val="00732CD4"/>
    <w:rsid w:val="00736EC0"/>
    <w:rsid w:val="007423C5"/>
    <w:rsid w:val="0074247F"/>
    <w:rsid w:val="00744201"/>
    <w:rsid w:val="00746335"/>
    <w:rsid w:val="00750681"/>
    <w:rsid w:val="00756FD3"/>
    <w:rsid w:val="007608F3"/>
    <w:rsid w:val="007624F7"/>
    <w:rsid w:val="00767C01"/>
    <w:rsid w:val="00770F3E"/>
    <w:rsid w:val="00773AEC"/>
    <w:rsid w:val="00775803"/>
    <w:rsid w:val="007871C3"/>
    <w:rsid w:val="00787C46"/>
    <w:rsid w:val="00790AB8"/>
    <w:rsid w:val="00790DB7"/>
    <w:rsid w:val="00795C04"/>
    <w:rsid w:val="007A4F6E"/>
    <w:rsid w:val="007A6F1E"/>
    <w:rsid w:val="007A70AE"/>
    <w:rsid w:val="007B46FF"/>
    <w:rsid w:val="007B751C"/>
    <w:rsid w:val="007C0629"/>
    <w:rsid w:val="007C1F2A"/>
    <w:rsid w:val="007C558A"/>
    <w:rsid w:val="007C5E34"/>
    <w:rsid w:val="007C6DCB"/>
    <w:rsid w:val="007D4892"/>
    <w:rsid w:val="007E4C11"/>
    <w:rsid w:val="007E7AAB"/>
    <w:rsid w:val="007E7CE6"/>
    <w:rsid w:val="007F291B"/>
    <w:rsid w:val="008001B5"/>
    <w:rsid w:val="00800392"/>
    <w:rsid w:val="008038C1"/>
    <w:rsid w:val="008050BD"/>
    <w:rsid w:val="00806CF6"/>
    <w:rsid w:val="00814C3B"/>
    <w:rsid w:val="00814D76"/>
    <w:rsid w:val="00815C43"/>
    <w:rsid w:val="0082140A"/>
    <w:rsid w:val="0082539B"/>
    <w:rsid w:val="00825886"/>
    <w:rsid w:val="008275A1"/>
    <w:rsid w:val="00830C5C"/>
    <w:rsid w:val="00831C26"/>
    <w:rsid w:val="00840F76"/>
    <w:rsid w:val="008461E1"/>
    <w:rsid w:val="008503C9"/>
    <w:rsid w:val="008569A9"/>
    <w:rsid w:val="00857224"/>
    <w:rsid w:val="008578AC"/>
    <w:rsid w:val="008601D3"/>
    <w:rsid w:val="00861B28"/>
    <w:rsid w:val="0086269A"/>
    <w:rsid w:val="00871A7D"/>
    <w:rsid w:val="00873958"/>
    <w:rsid w:val="008801A0"/>
    <w:rsid w:val="00883DD2"/>
    <w:rsid w:val="0088483C"/>
    <w:rsid w:val="00886A45"/>
    <w:rsid w:val="008A3540"/>
    <w:rsid w:val="008A4C8E"/>
    <w:rsid w:val="008A72CC"/>
    <w:rsid w:val="008A746D"/>
    <w:rsid w:val="008B3EDD"/>
    <w:rsid w:val="008B48DB"/>
    <w:rsid w:val="008C2DD5"/>
    <w:rsid w:val="008D0B0E"/>
    <w:rsid w:val="008D2832"/>
    <w:rsid w:val="008D2D45"/>
    <w:rsid w:val="008D694F"/>
    <w:rsid w:val="008E2144"/>
    <w:rsid w:val="008E2D09"/>
    <w:rsid w:val="008E4793"/>
    <w:rsid w:val="008E47E6"/>
    <w:rsid w:val="008E51E9"/>
    <w:rsid w:val="008F3E87"/>
    <w:rsid w:val="0090008E"/>
    <w:rsid w:val="00901624"/>
    <w:rsid w:val="00903538"/>
    <w:rsid w:val="00904595"/>
    <w:rsid w:val="0090560E"/>
    <w:rsid w:val="00907B9C"/>
    <w:rsid w:val="0091069B"/>
    <w:rsid w:val="00915775"/>
    <w:rsid w:val="00915C6F"/>
    <w:rsid w:val="00921A2C"/>
    <w:rsid w:val="00924FFE"/>
    <w:rsid w:val="00930422"/>
    <w:rsid w:val="009311F6"/>
    <w:rsid w:val="009312F5"/>
    <w:rsid w:val="00931537"/>
    <w:rsid w:val="00935F8D"/>
    <w:rsid w:val="009469AD"/>
    <w:rsid w:val="0094710E"/>
    <w:rsid w:val="00951E4C"/>
    <w:rsid w:val="00953564"/>
    <w:rsid w:val="00953870"/>
    <w:rsid w:val="009615A8"/>
    <w:rsid w:val="00964B53"/>
    <w:rsid w:val="0097275D"/>
    <w:rsid w:val="00975629"/>
    <w:rsid w:val="009768DC"/>
    <w:rsid w:val="009769DF"/>
    <w:rsid w:val="00986CA8"/>
    <w:rsid w:val="009876AA"/>
    <w:rsid w:val="0099662E"/>
    <w:rsid w:val="009B1CC8"/>
    <w:rsid w:val="009B27C8"/>
    <w:rsid w:val="009B4B96"/>
    <w:rsid w:val="009B5BF1"/>
    <w:rsid w:val="009C1A13"/>
    <w:rsid w:val="009C6D88"/>
    <w:rsid w:val="009D2DC8"/>
    <w:rsid w:val="009D68EE"/>
    <w:rsid w:val="009D75C6"/>
    <w:rsid w:val="009D7D95"/>
    <w:rsid w:val="009E70AA"/>
    <w:rsid w:val="009F0E07"/>
    <w:rsid w:val="009F18C9"/>
    <w:rsid w:val="009F3B0C"/>
    <w:rsid w:val="009F6052"/>
    <w:rsid w:val="00A067BE"/>
    <w:rsid w:val="00A113BF"/>
    <w:rsid w:val="00A13AED"/>
    <w:rsid w:val="00A13AFC"/>
    <w:rsid w:val="00A27A64"/>
    <w:rsid w:val="00A37D4B"/>
    <w:rsid w:val="00A43CBE"/>
    <w:rsid w:val="00A45153"/>
    <w:rsid w:val="00A503CC"/>
    <w:rsid w:val="00A5595E"/>
    <w:rsid w:val="00A627BE"/>
    <w:rsid w:val="00A630EE"/>
    <w:rsid w:val="00A631EB"/>
    <w:rsid w:val="00A634AD"/>
    <w:rsid w:val="00A63D44"/>
    <w:rsid w:val="00A6556A"/>
    <w:rsid w:val="00A7040C"/>
    <w:rsid w:val="00A72C23"/>
    <w:rsid w:val="00A8016F"/>
    <w:rsid w:val="00A82E2C"/>
    <w:rsid w:val="00AA2FD3"/>
    <w:rsid w:val="00AA5E1C"/>
    <w:rsid w:val="00AA6819"/>
    <w:rsid w:val="00AA6840"/>
    <w:rsid w:val="00AB1AA5"/>
    <w:rsid w:val="00AB2E78"/>
    <w:rsid w:val="00AB57B8"/>
    <w:rsid w:val="00AB752C"/>
    <w:rsid w:val="00AB7EDD"/>
    <w:rsid w:val="00AC0978"/>
    <w:rsid w:val="00AC79F1"/>
    <w:rsid w:val="00AD061F"/>
    <w:rsid w:val="00AD26AF"/>
    <w:rsid w:val="00AD7738"/>
    <w:rsid w:val="00AE1043"/>
    <w:rsid w:val="00AE1255"/>
    <w:rsid w:val="00AF2255"/>
    <w:rsid w:val="00AF234B"/>
    <w:rsid w:val="00AF6BC8"/>
    <w:rsid w:val="00B04E2C"/>
    <w:rsid w:val="00B0507A"/>
    <w:rsid w:val="00B07538"/>
    <w:rsid w:val="00B16C35"/>
    <w:rsid w:val="00B2235D"/>
    <w:rsid w:val="00B269B0"/>
    <w:rsid w:val="00B26B8A"/>
    <w:rsid w:val="00B325A2"/>
    <w:rsid w:val="00B331C4"/>
    <w:rsid w:val="00B35387"/>
    <w:rsid w:val="00B362B2"/>
    <w:rsid w:val="00B445A1"/>
    <w:rsid w:val="00B47749"/>
    <w:rsid w:val="00B51BBD"/>
    <w:rsid w:val="00B51F46"/>
    <w:rsid w:val="00B521D0"/>
    <w:rsid w:val="00B540B0"/>
    <w:rsid w:val="00B62BF2"/>
    <w:rsid w:val="00B72559"/>
    <w:rsid w:val="00B73B01"/>
    <w:rsid w:val="00B76D0D"/>
    <w:rsid w:val="00B77165"/>
    <w:rsid w:val="00B81B7B"/>
    <w:rsid w:val="00B8379A"/>
    <w:rsid w:val="00B91070"/>
    <w:rsid w:val="00B9111A"/>
    <w:rsid w:val="00B93544"/>
    <w:rsid w:val="00B95A89"/>
    <w:rsid w:val="00B96B0B"/>
    <w:rsid w:val="00B97417"/>
    <w:rsid w:val="00BA6326"/>
    <w:rsid w:val="00BA7131"/>
    <w:rsid w:val="00BB15E0"/>
    <w:rsid w:val="00BC0914"/>
    <w:rsid w:val="00BC2AA6"/>
    <w:rsid w:val="00BC3512"/>
    <w:rsid w:val="00BC4571"/>
    <w:rsid w:val="00BD1C35"/>
    <w:rsid w:val="00BD2C99"/>
    <w:rsid w:val="00BD36B2"/>
    <w:rsid w:val="00BD440B"/>
    <w:rsid w:val="00BE653E"/>
    <w:rsid w:val="00BF109C"/>
    <w:rsid w:val="00C018EF"/>
    <w:rsid w:val="00C01902"/>
    <w:rsid w:val="00C0632A"/>
    <w:rsid w:val="00C07E4C"/>
    <w:rsid w:val="00C105A9"/>
    <w:rsid w:val="00C10639"/>
    <w:rsid w:val="00C1495F"/>
    <w:rsid w:val="00C202DF"/>
    <w:rsid w:val="00C21016"/>
    <w:rsid w:val="00C22FA2"/>
    <w:rsid w:val="00C27F9D"/>
    <w:rsid w:val="00C32354"/>
    <w:rsid w:val="00C402F0"/>
    <w:rsid w:val="00C4552D"/>
    <w:rsid w:val="00C458C4"/>
    <w:rsid w:val="00C45EF4"/>
    <w:rsid w:val="00C52EC9"/>
    <w:rsid w:val="00C53E4E"/>
    <w:rsid w:val="00C55A26"/>
    <w:rsid w:val="00C55B81"/>
    <w:rsid w:val="00C609BB"/>
    <w:rsid w:val="00C618B3"/>
    <w:rsid w:val="00C62C1A"/>
    <w:rsid w:val="00C667AE"/>
    <w:rsid w:val="00C70B8B"/>
    <w:rsid w:val="00C72C50"/>
    <w:rsid w:val="00C8138F"/>
    <w:rsid w:val="00C8368F"/>
    <w:rsid w:val="00C83B30"/>
    <w:rsid w:val="00C91D96"/>
    <w:rsid w:val="00C92E95"/>
    <w:rsid w:val="00C97F08"/>
    <w:rsid w:val="00CA2468"/>
    <w:rsid w:val="00CA41D9"/>
    <w:rsid w:val="00CA4912"/>
    <w:rsid w:val="00CB3496"/>
    <w:rsid w:val="00CB630B"/>
    <w:rsid w:val="00CC550B"/>
    <w:rsid w:val="00CD2826"/>
    <w:rsid w:val="00CD31C8"/>
    <w:rsid w:val="00CD327C"/>
    <w:rsid w:val="00CE065A"/>
    <w:rsid w:val="00CF16B1"/>
    <w:rsid w:val="00CF317B"/>
    <w:rsid w:val="00CF50F3"/>
    <w:rsid w:val="00CF5856"/>
    <w:rsid w:val="00CF791D"/>
    <w:rsid w:val="00D00EE1"/>
    <w:rsid w:val="00D04BE1"/>
    <w:rsid w:val="00D131CB"/>
    <w:rsid w:val="00D21662"/>
    <w:rsid w:val="00D2241B"/>
    <w:rsid w:val="00D228D8"/>
    <w:rsid w:val="00D22F42"/>
    <w:rsid w:val="00D23D6B"/>
    <w:rsid w:val="00D2594E"/>
    <w:rsid w:val="00D31594"/>
    <w:rsid w:val="00D352F0"/>
    <w:rsid w:val="00D35D95"/>
    <w:rsid w:val="00D40F01"/>
    <w:rsid w:val="00D446B4"/>
    <w:rsid w:val="00D504E5"/>
    <w:rsid w:val="00D53E7B"/>
    <w:rsid w:val="00D5614B"/>
    <w:rsid w:val="00D570B5"/>
    <w:rsid w:val="00D629A8"/>
    <w:rsid w:val="00D632A5"/>
    <w:rsid w:val="00D67395"/>
    <w:rsid w:val="00D674D0"/>
    <w:rsid w:val="00D83C58"/>
    <w:rsid w:val="00DA00C4"/>
    <w:rsid w:val="00DA1202"/>
    <w:rsid w:val="00DA42CA"/>
    <w:rsid w:val="00DB640D"/>
    <w:rsid w:val="00DC1AF5"/>
    <w:rsid w:val="00DD244C"/>
    <w:rsid w:val="00DD387F"/>
    <w:rsid w:val="00DD4477"/>
    <w:rsid w:val="00DD450E"/>
    <w:rsid w:val="00DD454E"/>
    <w:rsid w:val="00DD57A0"/>
    <w:rsid w:val="00DD6936"/>
    <w:rsid w:val="00DD6937"/>
    <w:rsid w:val="00DD7157"/>
    <w:rsid w:val="00DE112C"/>
    <w:rsid w:val="00DF1131"/>
    <w:rsid w:val="00DF6438"/>
    <w:rsid w:val="00E05120"/>
    <w:rsid w:val="00E06257"/>
    <w:rsid w:val="00E065A3"/>
    <w:rsid w:val="00E25DEC"/>
    <w:rsid w:val="00E260DD"/>
    <w:rsid w:val="00E35A33"/>
    <w:rsid w:val="00E40F18"/>
    <w:rsid w:val="00E42CA2"/>
    <w:rsid w:val="00E430CD"/>
    <w:rsid w:val="00E51E03"/>
    <w:rsid w:val="00E52899"/>
    <w:rsid w:val="00E55457"/>
    <w:rsid w:val="00E57691"/>
    <w:rsid w:val="00E76FC2"/>
    <w:rsid w:val="00E823F2"/>
    <w:rsid w:val="00E900A2"/>
    <w:rsid w:val="00E91283"/>
    <w:rsid w:val="00E92DDE"/>
    <w:rsid w:val="00E94FBD"/>
    <w:rsid w:val="00EB1992"/>
    <w:rsid w:val="00EB27E1"/>
    <w:rsid w:val="00EC1E62"/>
    <w:rsid w:val="00EC64B5"/>
    <w:rsid w:val="00EC7181"/>
    <w:rsid w:val="00EC7A69"/>
    <w:rsid w:val="00ED08C4"/>
    <w:rsid w:val="00ED3D64"/>
    <w:rsid w:val="00ED7ECC"/>
    <w:rsid w:val="00EE08AD"/>
    <w:rsid w:val="00EE3A36"/>
    <w:rsid w:val="00EE4687"/>
    <w:rsid w:val="00EE65A3"/>
    <w:rsid w:val="00EE75FF"/>
    <w:rsid w:val="00EF068E"/>
    <w:rsid w:val="00EF09CB"/>
    <w:rsid w:val="00EF6280"/>
    <w:rsid w:val="00F0674E"/>
    <w:rsid w:val="00F2053E"/>
    <w:rsid w:val="00F23B47"/>
    <w:rsid w:val="00F3138B"/>
    <w:rsid w:val="00F31ED9"/>
    <w:rsid w:val="00F35B8F"/>
    <w:rsid w:val="00F400EC"/>
    <w:rsid w:val="00F45AD8"/>
    <w:rsid w:val="00F470AB"/>
    <w:rsid w:val="00F517A2"/>
    <w:rsid w:val="00F56E54"/>
    <w:rsid w:val="00F57C1F"/>
    <w:rsid w:val="00F64F45"/>
    <w:rsid w:val="00F660B8"/>
    <w:rsid w:val="00F73910"/>
    <w:rsid w:val="00F73F1B"/>
    <w:rsid w:val="00F76033"/>
    <w:rsid w:val="00F76B30"/>
    <w:rsid w:val="00F82369"/>
    <w:rsid w:val="00F84385"/>
    <w:rsid w:val="00F86B10"/>
    <w:rsid w:val="00F91163"/>
    <w:rsid w:val="00F9406C"/>
    <w:rsid w:val="00F94BCA"/>
    <w:rsid w:val="00FA24D0"/>
    <w:rsid w:val="00FA376F"/>
    <w:rsid w:val="00FA6D51"/>
    <w:rsid w:val="00FB0198"/>
    <w:rsid w:val="00FB3D6F"/>
    <w:rsid w:val="00FB52DE"/>
    <w:rsid w:val="00FB5E15"/>
    <w:rsid w:val="00FB64B9"/>
    <w:rsid w:val="00FC1718"/>
    <w:rsid w:val="00FC20CF"/>
    <w:rsid w:val="00FC2714"/>
    <w:rsid w:val="00FC403D"/>
    <w:rsid w:val="00FC4C60"/>
    <w:rsid w:val="00FC6E40"/>
    <w:rsid w:val="00FD1F53"/>
    <w:rsid w:val="00FD594B"/>
    <w:rsid w:val="00FD6054"/>
    <w:rsid w:val="00FD782F"/>
    <w:rsid w:val="00FD7910"/>
    <w:rsid w:val="00FE040B"/>
    <w:rsid w:val="00FE0BB2"/>
    <w:rsid w:val="00FE2509"/>
    <w:rsid w:val="00FE2884"/>
    <w:rsid w:val="00FE3340"/>
    <w:rsid w:val="00FE7A6D"/>
    <w:rsid w:val="00FF3B93"/>
    <w:rsid w:val="00FF3D2C"/>
    <w:rsid w:val="00FF5D7B"/>
    <w:rsid w:val="00FF705F"/>
    <w:rsid w:val="0326524B"/>
    <w:rsid w:val="03A16947"/>
    <w:rsid w:val="145B5D72"/>
    <w:rsid w:val="1AD20E98"/>
    <w:rsid w:val="1BD6197A"/>
    <w:rsid w:val="1DB31B9C"/>
    <w:rsid w:val="29411976"/>
    <w:rsid w:val="298E56A9"/>
    <w:rsid w:val="2ABE0BB0"/>
    <w:rsid w:val="2C24082E"/>
    <w:rsid w:val="2CB37F5F"/>
    <w:rsid w:val="2E365601"/>
    <w:rsid w:val="30182FEE"/>
    <w:rsid w:val="303509C7"/>
    <w:rsid w:val="3369297A"/>
    <w:rsid w:val="3674732B"/>
    <w:rsid w:val="3CAD3837"/>
    <w:rsid w:val="3DF633C5"/>
    <w:rsid w:val="3F2D72BA"/>
    <w:rsid w:val="506B7C43"/>
    <w:rsid w:val="54646E83"/>
    <w:rsid w:val="56547375"/>
    <w:rsid w:val="5A076DE2"/>
    <w:rsid w:val="5C6D7659"/>
    <w:rsid w:val="5F1D7EF8"/>
    <w:rsid w:val="60A56859"/>
    <w:rsid w:val="68BA6A4A"/>
    <w:rsid w:val="6BEC2475"/>
    <w:rsid w:val="6F6E1ED2"/>
    <w:rsid w:val="712F1603"/>
    <w:rsid w:val="74C92F73"/>
    <w:rsid w:val="770974F5"/>
    <w:rsid w:val="77CC1D1A"/>
    <w:rsid w:val="7DBA0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ody Text Indent 2"/>
    <w:basedOn w:val="1"/>
    <w:uiPriority w:val="0"/>
    <w:pPr>
      <w:spacing w:line="360" w:lineRule="exact"/>
      <w:ind w:firstLine="420"/>
    </w:pPr>
  </w:style>
  <w:style w:type="paragraph" w:styleId="5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27" w:lineRule="atLeast"/>
      <w:ind w:firstLine="420"/>
      <w:jc w:val="left"/>
    </w:pPr>
    <w:rPr>
      <w:kern w:val="0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customStyle="1" w:styleId="14">
    <w:name w:val="页眉 字符"/>
    <w:link w:val="7"/>
    <w:autoRedefine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日期 字符"/>
    <w:link w:val="3"/>
    <w:autoRedefine/>
    <w:qFormat/>
    <w:uiPriority w:val="0"/>
    <w:rPr>
      <w:kern w:val="2"/>
      <w:sz w:val="21"/>
      <w:szCs w:val="24"/>
    </w:rPr>
  </w:style>
  <w:style w:type="paragraph" w:customStyle="1" w:styleId="17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52D4C4-67D3-4ED9-916A-E65ED27441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地理科学学院</Company>
  <Pages>6</Pages>
  <Words>873</Words>
  <Characters>4979</Characters>
  <Lines>41</Lines>
  <Paragraphs>11</Paragraphs>
  <TotalTime>21</TotalTime>
  <ScaleCrop>false</ScaleCrop>
  <LinksUpToDate>false</LinksUpToDate>
  <CharactersWithSpaces>5841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2023-04-03T02:30:00Z</dcterms:created>
  <dc:creator>杨华</dc:creator>
  <cp:lastModifiedBy>admin</cp:lastModifiedBy>
  <cp:lastPrinted>2024-04-03T07:27:00Z</cp:lastPrinted>
  <dcterms:modified xsi:type="dcterms:W3CDTF">2024-04-07T10:05:08Z</dcterms:modified>
  <dc:title>重庆师范大学地理科学学院2007年研究生复试方案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AD47B9DED5E24CC59BA06078AD7B1B59_12</vt:lpwstr>
  </property>
</Properties>
</file>